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FB411A" w:rsidR="00910AE5" w:rsidTr="62CE531A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B411A" w:rsidR="00910AE5" w:rsidP="62CE531A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518168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B411A" w:rsidR="00910AE5" w:rsidP="62CE531A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518168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FB411A" w:rsidR="003D231A" w:rsidTr="62CE531A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B411A" w:rsidR="003D231A" w:rsidP="62CE531A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B411A" w:rsidR="003D231A" w:rsidP="62CE531A" w:rsidRDefault="00AD11EB" w14:paraId="28A6B06E" w14:textId="315E8F1E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2CE531A" w:rsidR="7BF12DF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Relações de Trabalho </w:t>
            </w:r>
            <w:r w:rsidRPr="62CE531A" w:rsidR="43CA2BF6">
              <w:rPr>
                <w:rFonts w:ascii="Calibri" w:hAnsi="Calibri" w:eastAsia="Calibri" w:cs="Calibri" w:asciiTheme="minorAscii" w:hAnsiTheme="minorAscii" w:eastAsiaTheme="minorAscii" w:cstheme="minorAscii"/>
              </w:rPr>
              <w:t>E GESTÃO DE PESSOAS</w:t>
            </w:r>
          </w:p>
        </w:tc>
      </w:tr>
      <w:tr w:rsidRPr="00FB411A" w:rsidR="003D231A" w:rsidTr="62CE531A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B411A" w:rsidR="003D231A" w:rsidP="62CE531A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B411A" w:rsidR="003D231A" w:rsidP="62CE531A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FB411A" w:rsidR="003D231A" w:rsidTr="62CE531A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B411A" w:rsidR="003D231A" w:rsidP="62CE531A" w:rsidRDefault="00986331" w14:paraId="2C805426" w14:textId="43AAF35B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6B1878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B411A" w:rsidR="003D231A" w:rsidP="62CE531A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B411A" w:rsidR="003D231A" w:rsidTr="62CE531A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FB411A" w:rsidR="003D231A" w:rsidP="62CE531A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FB411A" w:rsidR="003D231A" w:rsidTr="62CE531A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986331" w:rsidP="62CE531A" w:rsidRDefault="00986331" w14:paraId="688B236E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62CE531A" w:rsidRDefault="000B57C4" w14:paraId="3BDA2545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2CE531A" w:rsidR="5342FAA5">
              <w:rPr>
                <w:rFonts w:ascii="Calibri" w:hAnsi="Calibri" w:eastAsia="Calibri" w:cs="Calibri" w:asciiTheme="minorAscii" w:hAnsiTheme="minorAscii" w:eastAsiaTheme="minorAscii" w:cstheme="minorAscii"/>
              </w:rPr>
              <w:t>Evolução da ARH no Brasil. Funções Clássicas da Gestão de Pessoas nas Organizações: Desenvolvimento. Remuneração, Controle/Envolvimento/Participação. Relações de Trabalho: Conceituação e Aplicação. Tendências. Temas Emergentes. Integração entre Relações de Trabalho (RT) e Gestão de Pessoas (GP).</w:t>
            </w:r>
          </w:p>
          <w:p w:rsidRPr="00FB411A" w:rsidR="00986331" w:rsidP="62CE531A" w:rsidRDefault="00986331" w14:paraId="03532D23" w14:textId="004B6C6C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B411A" w:rsidR="003D231A" w:rsidTr="62CE531A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B411A" w:rsidR="003D231A" w:rsidP="62CE531A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FB411A" w:rsidR="003D231A" w:rsidTr="62CE531A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B411A" w:rsidR="003D231A" w:rsidP="62CE531A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FB411A" w:rsidR="003D231A" w:rsidP="62CE531A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FB411A" w:rsidR="003D231A" w:rsidP="62CE531A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986331" w:rsidR="006A0941" w:rsidP="62CE531A" w:rsidRDefault="006A0941" w14:paraId="4B4004C5" w14:textId="172D47A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CARVALHO NETO, A. Relações de trabalho e gestão de pessoas: entre o macro e o micro? Provocações epistemológicas. 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REGE - Revista de Gestão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19, p. 299-308, 2012.</w:t>
            </w:r>
          </w:p>
          <w:p w:rsidRPr="00986331" w:rsidR="006A0941" w:rsidP="62CE531A" w:rsidRDefault="006A0941" w14:paraId="186D4779" w14:textId="1A857C9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THOMAS, H.; TURNBULL, P. Industrial relations and the futures of work: efficiency,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equity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voice in the twenty-first century. In: MACLEAVY, J.; PITTS, F. H. (Eds.).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handbook for the future of work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1. ed. London: Routledge, p. 331–343, 2024.</w:t>
            </w:r>
          </w:p>
          <w:p w:rsidRPr="00986331" w:rsidR="006A0941" w:rsidP="62CE531A" w:rsidRDefault="006A0941" w14:paraId="5E3A8794" w14:textId="35DA3CC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DUTRA. A.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Gestão de Pessoas I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livro didático. São Paulo, Palhoça: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UnisulVirtual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ed. 7, p. 164, 2011.</w:t>
            </w:r>
          </w:p>
          <w:p w:rsidRPr="00FB411A" w:rsidR="004E5B74" w:rsidP="62CE531A" w:rsidRDefault="006A0941" w14:paraId="00847E79" w14:textId="06702C8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HELAL, D. H.; OLTRAMARI, A. P.; MOSCON, D. C. B.; PAIVA, K. C. M.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Dicionário de gestão de pessoas e relações de trabalho no Brasil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1. ed. Bauru: 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Gradus</w:t>
            </w:r>
            <w:r w:rsidRPr="62CE531A" w:rsidR="1BCEC2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Editora, 2022.</w:t>
            </w:r>
          </w:p>
          <w:p w:rsidRPr="00FB411A" w:rsidR="003D231A" w:rsidP="62CE531A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FB411A" w:rsidR="003D231A" w:rsidP="62CE531A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2CE531A" w:rsidR="2E1881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FB411A" w:rsidR="003D231A" w:rsidP="62CE531A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986331" w:rsidR="005D2939" w:rsidP="62CE531A" w:rsidRDefault="005D2939" w14:paraId="3B0B3839" w14:textId="680E849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ABREU, G. V.; CARVALHO NETO, A.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Revisitando os clássicos das relações de trabalho: as perspectivas sistêmica e estratégica.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Gestão &amp; Planejamento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23, n. 1, p. 621-636, 2022.</w:t>
            </w:r>
          </w:p>
          <w:p w:rsidRPr="00986331" w:rsidR="005D2939" w:rsidP="62CE531A" w:rsidRDefault="005D2939" w14:paraId="08793478" w14:textId="0C05D36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AMORIM, W. A. C.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Futuro do trabalho no Brasil: cuidar das instituições.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RAE - Revista de Administração de Empresas,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São Paulo, v. 60, n. 5, p. 371-377, 2020.</w:t>
            </w:r>
          </w:p>
          <w:p w:rsidRPr="00986331" w:rsidR="005D2939" w:rsidP="62CE531A" w:rsidRDefault="005D2939" w14:paraId="72D69E89" w14:textId="67FDC91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ATANASIO, A. et al. A inteligência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artificial transformando o RH do futuro: um estudo de caso sobre a tecnologia e a diversidade no mercado de trabalho.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REFAS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7, n. 4, 2021.</w:t>
            </w:r>
          </w:p>
          <w:p w:rsidRPr="00986331" w:rsidR="005D2939" w:rsidP="62CE531A" w:rsidRDefault="005D2939" w14:paraId="6C78DEE5" w14:textId="7899956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BARRY, M. Industrial relations. In: COOPER, C.; BROUGH, P.; ANDERSON, V. L. (Eds.).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Elgar encyclopedia of occupational health psychology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Cheltenham: Edward Elgar Publishing, p. 94–96</w:t>
            </w:r>
            <w:r w:rsidRPr="62CE531A" w:rsidR="2E94948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2024.</w:t>
            </w:r>
          </w:p>
          <w:p w:rsidRPr="00986331" w:rsidR="005D2939" w:rsidP="62CE531A" w:rsidRDefault="005D2939" w14:paraId="09135B8B" w14:textId="21810DA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BITTENCOURT, D. F.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Gestão estratégica de pessoas nas organizações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2. ed. rev. Palhoça: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UnisulVirtual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2012.</w:t>
            </w:r>
          </w:p>
          <w:p w:rsidRPr="00986331" w:rsidR="005D2939" w:rsidP="62CE531A" w:rsidRDefault="005D2939" w14:paraId="41C5895E" w14:textId="2AD2C8A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s-ES"/>
              </w:rPr>
              <w:t xml:space="preserve">BOSÉLIE, P.; VAN HARTEN, J.; VELD,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s-ES"/>
              </w:rPr>
              <w:t>M.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 human resource management review on public management and public administration research: stop right there... before we go any further.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Public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Management Review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23, n. 4, p. 483–500, 2021.</w:t>
            </w:r>
          </w:p>
          <w:p w:rsidRPr="00986331" w:rsidR="005D2939" w:rsidP="62CE531A" w:rsidRDefault="005D2939" w14:paraId="252BDA27" w14:textId="51576ED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BOXALL, P. The future of employment relations from the perspective of human resource management.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Industrial Relations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56, n. 4, p. 578–593, 2014.</w:t>
            </w:r>
          </w:p>
          <w:p w:rsidRPr="00986331" w:rsidR="005D2939" w:rsidP="62CE531A" w:rsidRDefault="005D2939" w14:paraId="69A1950E" w14:textId="4D3CF35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CARDULLO, G.; DE CAROLIS, G.; SULIS, G. On the emergence of cooperative industrial and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labour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relations.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British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Industrial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Relations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62, n. 1, p. 1–23, 2024.</w:t>
            </w:r>
          </w:p>
          <w:p w:rsidRPr="00986331" w:rsidR="005D2939" w:rsidP="62CE531A" w:rsidRDefault="005D2939" w14:paraId="11E1494D" w14:textId="550993D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CARVALHO NETO, A.; AMORIM, W. A. C.; FISCHER, A. L. Top Human Resources Managers Views on Trade Union Action in Brazilian Corporations.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Brazilian Administration Review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13, n. 4, p. 1-23, 2016.</w:t>
            </w:r>
          </w:p>
          <w:p w:rsidRPr="00986331" w:rsidR="005D2939" w:rsidP="62CE531A" w:rsidRDefault="005D2939" w14:paraId="611A77EE" w14:textId="49A95AD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ELLEM, B. Industrial relations as power,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place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time: the case of Queensland coal mining.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Labour &amp; Industry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34, n. 3, p. 259–277, 2024.</w:t>
            </w:r>
          </w:p>
          <w:p w:rsidRPr="00986331" w:rsidR="005D2939" w:rsidP="62CE531A" w:rsidRDefault="005D2939" w14:paraId="4082782E" w14:textId="6D5E996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FINDLAY, P.; THOMPSON, P. Contemporary work: Its meanings and demands.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Industrial Relations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59, n. 2, p. 122–138, 2017.</w:t>
            </w:r>
          </w:p>
          <w:p w:rsidRPr="00986331" w:rsidR="005D2939" w:rsidP="62CE531A" w:rsidRDefault="005D2939" w14:paraId="5E56CA3E" w14:textId="4093930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FLANAGAN, F.; GOODS, C. Climate change and industrial relations: reflections on an emerging field.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Industrial Relations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64, n. 4, p. 479–498, 2022.</w:t>
            </w:r>
          </w:p>
          <w:p w:rsidRPr="00986331" w:rsidR="005D2939" w:rsidP="62CE531A" w:rsidRDefault="005D2939" w14:paraId="1703AC9D" w14:textId="46E756A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FLEURY, M. T. L.; FISCHER, R. M.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Processo e Relações de Trabalho no Brasil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São Paulo: Atlas, 1987.</w:t>
            </w:r>
          </w:p>
          <w:p w:rsidRPr="00986331" w:rsidR="005D2939" w:rsidP="62CE531A" w:rsidRDefault="005D2939" w14:paraId="775B67E0" w14:textId="4F60A43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FREITAS, E. E. M.; ZAMBON, M. S.; AUGUSTI, V. M. Os desafios da gestão no uso de novas tecnologias pelas organizações frente à diversidade cultural brasileira.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Teoria e Prática: Revista de Humanidades, Ciências Sociais e Cultura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2, n. 2, p. 14-28, 2020.</w:t>
            </w:r>
          </w:p>
          <w:p w:rsidRPr="00986331" w:rsidR="005D2939" w:rsidP="62CE531A" w:rsidRDefault="005D2939" w14:paraId="6D297C0B" w14:textId="7F55B3F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JACOMINI, M. A.; CRUZ, R. E.; CASTRO, E. C. Jornada de Trabalho Docente na Rede Pública de Educação Básica: Parâmetros para Discussão.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Arquivos Analíticos de Políticas Educativas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28, n. 32, 2020.</w:t>
            </w:r>
          </w:p>
          <w:p w:rsidRPr="00986331" w:rsidR="005D2939" w:rsidP="62CE531A" w:rsidRDefault="005D2939" w14:paraId="7648BEEC" w14:textId="634022F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LAULIÉ, L.; PAVEZ, I. Sustainable Human Resources Management and Psychological Contracts: Exploring Theoretical Anchors to Solve Relational Tensions in Employment Relationships.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Group &amp; Organization Management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2024</w:t>
            </w:r>
            <w:r w:rsidRPr="62CE531A" w:rsidR="6B1878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986331" w:rsidR="005D2939" w:rsidP="62CE531A" w:rsidRDefault="005D2939" w14:paraId="7FF0B48D" w14:textId="206CB18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LECOUNTE, J. F. HRM solutions: a framework for small business owners to manage industrial relations while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facilitating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labour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unionisation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mitigation.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Organizational Analysis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32, n. 1, p. 1–16, 2024.</w:t>
            </w:r>
          </w:p>
          <w:p w:rsidRPr="00986331" w:rsidR="005D2939" w:rsidP="62CE531A" w:rsidRDefault="005D2939" w14:paraId="7AA9AB2B" w14:textId="0DF88DD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LEE, T.; GOOD, L.; LIPTON, B.; COOPER, R. Women,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work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industrial relations in Australia in 2021.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Industrial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Relations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v. 64, n. 3, p. 347–361, 2022.</w:t>
            </w:r>
          </w:p>
          <w:p w:rsidRPr="00986331" w:rsidR="005D2939" w:rsidP="62CE531A" w:rsidRDefault="005D2939" w14:paraId="7B0E6541" w14:textId="185FE59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MEHMOOD, K. K.; MASOOD, S.; HANAYSHA, J. R. A Moderated Model for the Effect of Human Resource Management Strategy on Organizational Outcomes.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Management and Labour Studies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48, n. 4, p. 457–477, 2023.</w:t>
            </w:r>
          </w:p>
          <w:p w:rsidRPr="00986331" w:rsidR="005D2939" w:rsidP="62CE531A" w:rsidRDefault="005D2939" w14:paraId="6E3B2426" w14:textId="78FC808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MIRSAFIAN, A. Taylorism, worker resistance, and industrial relations in Sweden.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International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Review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Social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History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68, n. 3, p. 429–451, 2023.</w:t>
            </w:r>
          </w:p>
          <w:p w:rsidRPr="00986331" w:rsidR="005D2939" w:rsidP="62CE531A" w:rsidRDefault="005D2939" w14:paraId="45E8B345" w14:textId="6F62609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PAIVA, K. C. M.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Gestão de recursos humanos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teorias e reflexões. São Paulo: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Intersaberes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2019.</w:t>
            </w:r>
          </w:p>
          <w:p w:rsidRPr="00FB411A" w:rsidR="003D231A" w:rsidP="62CE531A" w:rsidRDefault="005D2939" w14:paraId="584C2433" w14:textId="0B324732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WRIGHT, C. F.; WAILES, N.; BAMBER, G. J.; LANSBURY, R. D. Beyond national systems, towards a “gig economy”? A research agenda for international and comparative employment relations. 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>Employee Responsibilities and Rights Journal</w:t>
            </w:r>
            <w:r w:rsidRPr="62CE531A" w:rsidR="2B3A52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, v. 29, n. 4, p. 247–257, 2017</w:t>
            </w:r>
            <w:r w:rsidRPr="62CE531A" w:rsidR="642D3429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FB411A" w:rsidR="00427E4D" w:rsidP="62CE531A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92A" w:rsidRDefault="0006192A" w14:paraId="5036FBF6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986331" w:rsidRDefault="00255E24" w14:paraId="3B00B581" w14:textId="0D1C36F2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986331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570421" w:rsidR="00986331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92A" w:rsidRDefault="0006192A" w14:paraId="39C6F3A2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92A" w:rsidRDefault="0006192A" w14:paraId="30AA8BCF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06192A" w:rsidR="00307073" w:rsidP="62CE531A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62CE531A" w:rsidR="62CE531A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92A" w:rsidRDefault="0006192A" w14:paraId="33F39A7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6192A"/>
    <w:rsid w:val="000712BB"/>
    <w:rsid w:val="000816AA"/>
    <w:rsid w:val="00081F00"/>
    <w:rsid w:val="00097CAD"/>
    <w:rsid w:val="000B57C4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08BC"/>
    <w:rsid w:val="002F11F9"/>
    <w:rsid w:val="002F1392"/>
    <w:rsid w:val="00302D20"/>
    <w:rsid w:val="00307073"/>
    <w:rsid w:val="003071C2"/>
    <w:rsid w:val="003164B3"/>
    <w:rsid w:val="00323BEB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B7D9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A1EC5"/>
    <w:rsid w:val="005C0B48"/>
    <w:rsid w:val="005C33CE"/>
    <w:rsid w:val="005D2939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82E57"/>
    <w:rsid w:val="00687CEF"/>
    <w:rsid w:val="006A0941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4744B"/>
    <w:rsid w:val="00950E7B"/>
    <w:rsid w:val="00953532"/>
    <w:rsid w:val="00986331"/>
    <w:rsid w:val="009B67CC"/>
    <w:rsid w:val="009C0682"/>
    <w:rsid w:val="009D0B63"/>
    <w:rsid w:val="009D30C7"/>
    <w:rsid w:val="00A137D9"/>
    <w:rsid w:val="00A13961"/>
    <w:rsid w:val="00A22128"/>
    <w:rsid w:val="00A22EBC"/>
    <w:rsid w:val="00A2623A"/>
    <w:rsid w:val="00A400BE"/>
    <w:rsid w:val="00A44885"/>
    <w:rsid w:val="00A55A2E"/>
    <w:rsid w:val="00A655AC"/>
    <w:rsid w:val="00A81634"/>
    <w:rsid w:val="00A92906"/>
    <w:rsid w:val="00AC1BE9"/>
    <w:rsid w:val="00AD11EB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D2155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56A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0FB411A"/>
    <w:rsid w:val="1BCEC2E6"/>
    <w:rsid w:val="2B3A5251"/>
    <w:rsid w:val="2E18819D"/>
    <w:rsid w:val="2E949487"/>
    <w:rsid w:val="43CA2BF6"/>
    <w:rsid w:val="518168E4"/>
    <w:rsid w:val="5342FAA5"/>
    <w:rsid w:val="62CE531A"/>
    <w:rsid w:val="642D3429"/>
    <w:rsid w:val="6B1878CD"/>
    <w:rsid w:val="7BF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2025-04-01T21:19:00.0000000Z</dcterms:created>
  <dcterms:modified xsi:type="dcterms:W3CDTF">2025-04-01T21:20:32.7559172Z</dcterms:modified>
</coreProperties>
</file>