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971859" w:rsidR="00910AE5" w:rsidTr="71B6D5CE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71859" w:rsidR="00910AE5" w:rsidP="71B6D5CE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B6D5CE" w:rsidR="0803D20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71859" w:rsidR="00910AE5" w:rsidP="71B6D5CE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B6D5CE" w:rsidR="0803D20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971859" w:rsidR="003D231A" w:rsidTr="71B6D5CE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71859" w:rsidR="003D231A" w:rsidP="71B6D5CE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B6D5CE" w:rsidR="28B6F5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71859" w:rsidR="003D231A" w:rsidP="71B6D5CE" w:rsidRDefault="006E3CAD" w14:paraId="28A6B06E" w14:textId="3620617A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1B6D5CE" w:rsidR="2267C198">
              <w:rPr>
                <w:rFonts w:ascii="Calibri" w:hAnsi="Calibri" w:eastAsia="Calibri" w:cs="Calibri" w:asciiTheme="minorAscii" w:hAnsiTheme="minorAscii" w:eastAsiaTheme="minorAscii" w:cstheme="minorAscii"/>
              </w:rPr>
              <w:t>Gestão e Fiscalização de Contratos, Convênios, Consórcios e   Prestação de Contas</w:t>
            </w:r>
          </w:p>
        </w:tc>
      </w:tr>
      <w:tr w:rsidRPr="00971859" w:rsidR="003D231A" w:rsidTr="71B6D5CE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71859" w:rsidR="003D231A" w:rsidP="71B6D5CE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B6D5CE" w:rsidR="28B6F5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71859" w:rsidR="003D231A" w:rsidP="71B6D5CE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1B6D5CE" w:rsidR="28B6F503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971859" w:rsidR="003D231A" w:rsidTr="71B6D5CE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71859" w:rsidR="003D231A" w:rsidP="71B6D5CE" w:rsidRDefault="002E424E" w14:paraId="2C805426" w14:textId="1DF61B6A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B6D5CE" w:rsidR="38DF2E5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71859" w:rsidR="003D231A" w:rsidP="71B6D5CE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971859" w:rsidR="003D231A" w:rsidTr="71B6D5CE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971859" w:rsidR="003D231A" w:rsidP="71B6D5CE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B6D5CE" w:rsidR="28B6F5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971859" w:rsidR="003D231A" w:rsidTr="71B6D5CE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2E424E" w:rsidP="71B6D5CE" w:rsidRDefault="002E424E" w14:paraId="5944549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71B6D5CE" w:rsidRDefault="00BE5A1D" w14:paraId="6B44F20E" w14:textId="4F06F726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1B6D5CE" w:rsidR="2228D24E">
              <w:rPr>
                <w:rFonts w:ascii="Calibri" w:hAnsi="Calibri" w:eastAsia="Calibri" w:cs="Calibri" w:asciiTheme="minorAscii" w:hAnsiTheme="minorAscii" w:eastAsiaTheme="minorAscii" w:cstheme="minorAscii"/>
              </w:rPr>
              <w:t>Introdução à gestão de contratos e convênios; elaboração e formalização de contratos e convênios; gestão de execução de contratos; fiscalização de contratos e convênios; gestão de consórcios e parcerias; prestação de contas e transparência; requisitos de prestação de contas; aspectos legais e normativos.</w:t>
            </w:r>
          </w:p>
          <w:p w:rsidRPr="00971859" w:rsidR="002E424E" w:rsidP="71B6D5CE" w:rsidRDefault="002E424E" w14:paraId="03532D23" w14:textId="487F5712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971859" w:rsidR="003D231A" w:rsidTr="71B6D5CE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71859" w:rsidR="003D231A" w:rsidP="71B6D5CE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B6D5CE" w:rsidR="28B6F5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971859" w:rsidR="003D231A" w:rsidTr="71B6D5CE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71859" w:rsidR="003D231A" w:rsidP="71B6D5CE" w:rsidRDefault="003D231A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971859" w:rsidR="003D231A" w:rsidP="71B6D5CE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71B6D5CE" w:rsidR="28B6F5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971859" w:rsidR="003D231A" w:rsidP="71B6D5CE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2E424E" w:rsidR="00EB1E74" w:rsidP="71B6D5CE" w:rsidRDefault="00EB1E74" w14:paraId="1703F94E" w14:textId="4C287E49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ABDURAKHMONOV, M. J. W. R.; HILL, A. D. Unpacking firm external dependence: How government contract dependence affects firm investments and market performance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 </w:t>
            </w:r>
            <w:r w:rsidRPr="71B6D5CE" w:rsidR="5BC9E872">
              <w:rPr>
                <w:rStyle w:val="html-italic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Academy of Management Journal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v. 64, p. 67, 2021.</w:t>
            </w:r>
          </w:p>
          <w:p w:rsidRPr="002E424E" w:rsidR="00EB1E74" w:rsidP="71B6D5CE" w:rsidRDefault="00EB1E74" w14:paraId="58F57D83" w14:textId="350DF262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BÚRIGO, C. M.; GUNTHER, H. 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F.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Boas práticas na gestão e 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fiscalização 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de 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contratos administrativos 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em uma prefeitura municipal de Santa Catarina. 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IV Encontro Internacional de Gestão, Desenvolvimento e Inovação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p. 21, 2020.</w:t>
            </w:r>
          </w:p>
          <w:p w:rsidRPr="002E424E" w:rsidR="00EB1E74" w:rsidP="71B6D5CE" w:rsidRDefault="00EB1E74" w14:paraId="206AEAB0" w14:textId="4D2A6D3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PÉRCIO, G. V. 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Contratos administrativos: manual para gestores e fiscais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3ª Edição, Curitiba: Juruá, </w:t>
            </w:r>
            <w:r w:rsidRPr="71B6D5CE" w:rsidR="38DF2E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P. 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326</w:t>
            </w:r>
            <w:r w:rsidRPr="71B6D5CE" w:rsidR="38DF2E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2020.</w:t>
            </w:r>
          </w:p>
          <w:p w:rsidRPr="002E424E" w:rsidR="00056EF4" w:rsidP="71B6D5CE" w:rsidRDefault="00EB1E74" w14:paraId="1D81E304" w14:textId="5AD79D2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</w:rPr>
              <w:t xml:space="preserve">SPITZCOVS, C. 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</w:rPr>
              <w:t>Nova lei de licitações e contratos administrativos: Principais diretrizes e mudanças</w:t>
            </w:r>
            <w:r w:rsidRPr="71B6D5CE" w:rsidR="5BC9E87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</w:rPr>
              <w:t>. 2ª Edição. Expressa, p. 181, 2023.</w:t>
            </w:r>
          </w:p>
          <w:p w:rsidRPr="00971859" w:rsidR="00056EF4" w:rsidP="71B6D5CE" w:rsidRDefault="00056EF4" w14:paraId="102CB0A8" w14:textId="309B11D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71B6D5CE" w:rsidR="72ADC08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YEKINI, L. S.; YEKINI, K. C. NGO Accountability on Environmentalism: A Literature Review of Relevant Issues and Themes. </w:t>
            </w:r>
            <w:hyperlink w:tooltip="Kemi C. Yekini" w:history="1" r:id="Rd84a4b6b8d00480f">
              <w:r w:rsidRPr="71B6D5CE" w:rsidR="72ADC082">
                <w:rPr>
                  <w:rStyle w:val="Hiperligao"/>
                  <w:rFonts w:ascii="Calibri" w:hAnsi="Calibri" w:eastAsia="Calibri" w:cs="Calibri" w:asciiTheme="minorAscii" w:hAnsiTheme="minorAscii" w:eastAsiaTheme="minorAscii" w:cstheme="minorAscii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Yekini, K.C.</w:t>
              </w:r>
            </w:hyperlink>
            <w:r w:rsidRPr="71B6D5CE" w:rsidR="72ADC08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w:tooltip="Liafisu Sina Yekini" w:history="1" r:id="R8c4251a5717c4093">
              <w:r w:rsidRPr="71B6D5CE" w:rsidR="72ADC082">
                <w:rPr>
                  <w:rStyle w:val="Hiperligao"/>
                  <w:rFonts w:ascii="Calibri" w:hAnsi="Calibri" w:eastAsia="Calibri" w:cs="Calibri" w:asciiTheme="minorAscii" w:hAnsiTheme="minorAscii" w:eastAsiaTheme="minorAscii" w:cstheme="minorAscii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Yekini, L.S.</w:t>
              </w:r>
            </w:hyperlink>
            <w:r w:rsidRPr="71B6D5CE" w:rsidR="72ADC08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and </w:t>
            </w:r>
            <w:hyperlink w:tooltip="Paschal Ohalehi" w:history="1" r:id="R0fe54dd209ac4984">
              <w:r w:rsidRPr="71B6D5CE" w:rsidR="72ADC082">
                <w:rPr>
                  <w:rStyle w:val="Hiperligao"/>
                  <w:rFonts w:ascii="Calibri" w:hAnsi="Calibri" w:eastAsia="Calibri" w:cs="Calibri" w:asciiTheme="minorAscii" w:hAnsiTheme="minorAscii" w:eastAsiaTheme="minorAscii" w:cstheme="minorAscii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Ohalehi, P.</w:t>
              </w:r>
            </w:hyperlink>
            <w:r w:rsidRPr="71B6D5CE" w:rsidR="72ADC08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(Ed.) </w:t>
            </w:r>
            <w:r w:rsidRPr="71B6D5CE" w:rsidR="72ADC0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Environmentalism and NGO Accountability</w:t>
            </w:r>
            <w:r w:rsidRPr="71B6D5CE" w:rsidR="72ADC0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(</w:t>
            </w:r>
            <w:r w:rsidRPr="71B6D5CE" w:rsidR="72ADC0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Advances in Environmental Accounting &amp; Management</w:t>
            </w:r>
            <w:r w:rsidRPr="71B6D5CE" w:rsidR="72ADC08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Vol. 9</w:t>
            </w:r>
            <w:r w:rsidRPr="71B6D5CE" w:rsidR="72ADC08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Emerald Publishing Limited, Bingley, p. 139-155, 2020.</w:t>
            </w:r>
          </w:p>
          <w:p w:rsidRPr="00971859" w:rsidR="003D231A" w:rsidP="71B6D5CE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971859" w:rsidR="003D231A" w:rsidP="71B6D5CE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71B6D5CE" w:rsidR="28B6F5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971859" w:rsidR="003D231A" w:rsidP="71B6D5CE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2E424E" w:rsidR="004F2C4B" w:rsidP="71B6D5CE" w:rsidRDefault="004F2C4B" w14:paraId="43F88CC8" w14:textId="28531840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ATHINSON, C. L. Full and Open Competition in Public Procurement: Values and Ethics in Contracting Opportunity. </w:t>
            </w:r>
            <w:r w:rsidRPr="71B6D5CE" w:rsidR="48C5711E">
              <w:rPr>
                <w:rStyle w:val="html-italic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International Journal of Public Administration,</w:t>
            </w: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v. 43, p. 1169–82, 2020.</w:t>
            </w:r>
          </w:p>
          <w:p w:rsidRPr="002E424E" w:rsidR="004F2C4B" w:rsidP="71B6D5CE" w:rsidRDefault="004F2C4B" w14:paraId="26DD69FE" w14:textId="166468AB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CELIK, H.; NOWICKI, D. R.; UVET, H.; ADANA, S.</w:t>
            </w:r>
            <w:r w:rsidRPr="71B6D5CE" w:rsidR="48C5711E">
              <w:rPr>
                <w:rStyle w:val="Hiperligao"/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CEVIKPARMAK, S</w:t>
            </w: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 Supplier</w:t>
            </w: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goal commitment in performance-based contracts: the lens of goal-setting theory, </w:t>
            </w:r>
            <w:hyperlink w:history="1" r:id="R123c9022f6d14be4">
              <w:r w:rsidRPr="71B6D5CE" w:rsidR="48C5711E">
                <w:rPr>
                  <w:rStyle w:val="Hiperligao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color w:val="000000" w:themeColor="text1"/>
                  <w:sz w:val="24"/>
                  <w:szCs w:val="24"/>
                  <w:u w:val="none"/>
                  <w:lang w:val="en-US"/>
                </w:rPr>
                <w:t>International Journal of Physical Distribution &amp; Logistics Management</w:t>
              </w:r>
            </w:hyperlink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v. 19, n. 2, 2023.</w:t>
            </w:r>
          </w:p>
          <w:p w:rsidRPr="002E424E" w:rsidR="00FF62D4" w:rsidP="71B6D5CE" w:rsidRDefault="004F2C4B" w14:paraId="11985326" w14:textId="5154CC59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DŽUPKA, P.; KUBÁK, M.; NEMEC, P. Sustainable Public Procurement in Central European Countries. Can It Also Bring Savings? </w:t>
            </w:r>
            <w:r w:rsidRPr="71B6D5CE" w:rsidR="48C5711E">
              <w:rPr>
                <w:rStyle w:val="html-italic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Sustainability</w:t>
            </w: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n. 12, p 9241, 2020.</w:t>
            </w:r>
          </w:p>
          <w:p w:rsidRPr="002E424E" w:rsidR="004F2C4B" w:rsidP="71B6D5CE" w:rsidRDefault="004F2C4B" w14:paraId="468AB8FC" w14:textId="5EBB34F2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Gallego-García, S.; García-García, M.</w:t>
            </w: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Market-Oriented Procurement Planning Leading to a Higher Service Level and Cost Optimization. </w:t>
            </w:r>
            <w:r w:rsidRPr="71B6D5CE" w:rsidR="48C5711E">
              <w:rPr>
                <w:rStyle w:val="html-italic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Applied Sciences</w:t>
            </w: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 v. 10, p 8734, 2020.</w:t>
            </w:r>
          </w:p>
          <w:p w:rsidRPr="00971859" w:rsidR="004F2C4B" w:rsidP="71B6D5CE" w:rsidRDefault="004F2C4B" w14:paraId="52E7875E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HEBOUS, S.; ZIMMERMANN, T. Can government demand stimulate private investment? Evidence from U.S. federal procurement. </w:t>
            </w:r>
            <w:r w:rsidRPr="71B6D5CE" w:rsidR="48C5711E">
              <w:rPr>
                <w:rStyle w:val="html-italic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Journal of Monetary Economics</w:t>
            </w:r>
            <w:r w:rsidRPr="71B6D5CE" w:rsidR="48C571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 118: 178–94, 2021.</w:t>
            </w:r>
          </w:p>
          <w:p w:rsidRPr="002E424E" w:rsidR="00971859" w:rsidP="71B6D5CE" w:rsidRDefault="00971859" w14:paraId="39C951F1" w14:textId="4B2D0C2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HEYDARI, M.</w:t>
            </w:r>
            <w:r w:rsidRPr="71B6D5CE" w:rsidR="40315B41">
              <w:rPr>
                <w:rStyle w:val="a-color-secondary"/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 LAI, K. K., XIAOHU, Z.</w:t>
            </w:r>
            <w:r w:rsidRPr="71B6D5CE" w:rsidR="40315B41">
              <w:rPr>
                <w:rStyle w:val="contribution"/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71B6D5CE" w:rsidR="40315B41">
              <w:rPr>
                <w:rStyle w:val="a-size-extra-large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lang w:val="en-US"/>
              </w:rPr>
              <w:t>Risk Management in Public-Private Partnerships</w:t>
            </w:r>
            <w:r w:rsidRPr="71B6D5CE" w:rsidR="40315B41">
              <w:rPr>
                <w:rStyle w:val="a-size-extra-large"/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  <w:t xml:space="preserve">. Ed. 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Routledge, p. 325, 2021.</w:t>
            </w:r>
          </w:p>
          <w:p w:rsidRPr="002E424E" w:rsidR="00971859" w:rsidP="71B6D5CE" w:rsidRDefault="00971859" w14:paraId="30D191F7" w14:textId="407AE0A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LIZANDRO, L.; SCHABBACH, L. M. Cooperação intergovernamental e consórcios públicos: uma análise da celebração de convênios. 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Ciências Sociais Unisinos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vol. 56, núm. 1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,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pp. 13-25, 2020.</w:t>
            </w:r>
          </w:p>
          <w:p w:rsidRPr="002E424E" w:rsidR="00971859" w:rsidP="71B6D5CE" w:rsidRDefault="00971859" w14:paraId="7CA8A606" w14:textId="4BEDC85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LORUSSE, A.; DEWALLE, S. V. Local politicians’ preferences in public procurement: Ideological or strategic reasoning? </w:t>
            </w:r>
            <w:r w:rsidRPr="71B6D5CE" w:rsidR="40315B41">
              <w:rPr>
                <w:rStyle w:val="html-italic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Latest Government Studies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1–24, 2021.</w:t>
            </w:r>
          </w:p>
          <w:p w:rsidRPr="002E424E" w:rsidR="00971859" w:rsidP="71B6D5CE" w:rsidRDefault="00971859" w14:paraId="38EEABD5" w14:textId="332DD227">
            <w:pPr>
              <w:pStyle w:val="Ttulo1"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4"/>
                <w:szCs w:val="24"/>
                <w:lang w:val="en-US" w:eastAsia="en-US"/>
              </w:rPr>
            </w:pP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4"/>
                <w:szCs w:val="24"/>
                <w:lang w:val="en-US" w:eastAsia="en-US"/>
              </w:rPr>
              <w:t>MATTSSON, L.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  <w:r w:rsidRPr="71B6D5CE" w:rsidR="40315B41">
              <w:rPr>
                <w:rStyle w:val="a-size-extra-large"/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 w:eastAsia="en-US"/>
              </w:rPr>
              <w:t>Contract Management: Guide to read and understand Contracts.</w:t>
            </w:r>
            <w:r w:rsidRPr="71B6D5CE" w:rsidR="40315B41">
              <w:rPr>
                <w:rStyle w:val="a-size-extra-large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4"/>
                <w:szCs w:val="24"/>
                <w:lang w:val="en-US" w:eastAsia="en-US"/>
              </w:rPr>
              <w:t xml:space="preserve"> Editor: L. Exec. Man. 2</w:t>
            </w:r>
            <w:r w:rsidRPr="71B6D5CE" w:rsidR="40315B41">
              <w:rPr>
                <w:rStyle w:val="a-size-extra-large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4"/>
                <w:szCs w:val="24"/>
                <w:vertAlign w:val="superscript"/>
                <w:lang w:val="en-US" w:eastAsia="en-US"/>
              </w:rPr>
              <w:t>nd</w:t>
            </w:r>
            <w:r w:rsidRPr="71B6D5CE" w:rsidR="40315B41">
              <w:rPr>
                <w:rStyle w:val="a-size-extra-large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4"/>
                <w:szCs w:val="24"/>
                <w:lang w:val="en-US" w:eastAsia="en-US"/>
              </w:rPr>
              <w:t xml:space="preserve"> Edition, p. 154, 2021.</w:t>
            </w:r>
          </w:p>
          <w:p w:rsidRPr="002E424E" w:rsidR="00971859" w:rsidP="71B6D5CE" w:rsidRDefault="00971859" w14:paraId="1DB578F2" w14:textId="4AD1ACE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NEIS, D. F. B.; FOLADOR, F. R. A. H.; DA COSTA, D. F. A. S.; LIMA, C. M.; DIAS, F. L.; MATOS, G. B. C. Management and Supervision of Administrative Contracts in a Federal Institution of Indirect Public Administration. 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International Journal of Business Administration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12, No. 3, 2021.</w:t>
            </w:r>
          </w:p>
          <w:p w:rsidRPr="002E424E" w:rsidR="00971859" w:rsidP="71B6D5CE" w:rsidRDefault="00971859" w14:paraId="1A48CB76" w14:textId="335CB67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SARAI, L. 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Tratado da nova lei de licitações e contratos administrativos: lei 14.133/2021 comentada por advogados públicos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, São Paulo: 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JusPodivm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2021, 1536p.</w:t>
            </w:r>
          </w:p>
          <w:p w:rsidRPr="002E424E" w:rsidR="00971859" w:rsidP="71B6D5CE" w:rsidRDefault="00971859" w14:paraId="50ACDC7F" w14:textId="2DBD330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71B6D5CE" w:rsidR="40315B41">
              <w:rPr>
                <w:rStyle w:val="name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SCHNEIDER, A. M. 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O princípio da segurança jurídica e a nova lei brasileira de licitações e contratos administrativos.  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VIII Congresso Internacional de Direitos Humanos de Coimbra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8, n. 1,</w:t>
            </w:r>
            <w:r w:rsidRPr="71B6D5CE" w:rsidR="40315B41">
              <w:rPr>
                <w:rStyle w:val="name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2023.</w:t>
            </w:r>
          </w:p>
          <w:p w:rsidRPr="002E424E" w:rsidR="00971859" w:rsidP="71B6D5CE" w:rsidRDefault="00971859" w14:paraId="4EF51797" w14:textId="5347191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Style w:val="a-size-extra-large"/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SILVERSTEIN, S. </w:t>
            </w:r>
            <w:r w:rsidRPr="71B6D5CE" w:rsidR="40315B41">
              <w:rPr>
                <w:rStyle w:val="a-size-extra-large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lang w:val="en-US"/>
              </w:rPr>
              <w:t>The Theory of Accountability: Building a Truly Accountable, High-Performance, High-Growth Life for Yourself and Your Organization</w:t>
            </w:r>
            <w:r w:rsidRPr="71B6D5CE" w:rsidR="40315B41">
              <w:rPr>
                <w:rStyle w:val="a-size-extra-large"/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  <w:t>. Ed. Sound Wisdom, 2021.</w:t>
            </w:r>
          </w:p>
          <w:p w:rsidRPr="002E424E" w:rsidR="00971859" w:rsidP="71B6D5CE" w:rsidRDefault="00971859" w14:paraId="559F132E" w14:textId="17DABCF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WASSON, T.;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QUINN, M. Bringing home the bacon: do politicians on boards increase firms’ government 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contracts?,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w:history="1" r:id="R99959231db664684">
              <w:r w:rsidRPr="71B6D5CE" w:rsidR="40315B41">
                <w:rPr>
                  <w:rStyle w:val="Hiperligao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color w:val="000000" w:themeColor="text1"/>
                  <w:sz w:val="24"/>
                  <w:szCs w:val="24"/>
                  <w:u w:val="none"/>
                  <w:lang w:val="en-US"/>
                </w:rPr>
                <w:t>Society and Business Review</w:t>
              </w:r>
            </w:hyperlink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v.19, n. 1, 2023.</w:t>
            </w:r>
          </w:p>
          <w:p w:rsidRPr="00971859" w:rsidR="00255B5C" w:rsidP="71B6D5CE" w:rsidRDefault="00971859" w14:paraId="7F63EECC" w14:textId="52AFA15A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</w:rPr>
              <w:t xml:space="preserve">WINTER, L. A. C.; REIS, L. The multilateral agreement on investment measures related to the commerce (TRIMS) and the state regulation by the bids and administrative contracts for the promotion and fomentation of science, 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</w:rPr>
              <w:t>technology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</w:rPr>
              <w:t xml:space="preserve"> and innovation under brasil’s constitution of 1988. </w:t>
            </w:r>
            <w:r w:rsidRPr="71B6D5CE" w:rsidR="40315B41">
              <w:rPr>
                <w:rStyle w:val="html-italic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</w:rPr>
              <w:t>Revista</w:t>
            </w:r>
            <w:r w:rsidRPr="71B6D5CE" w:rsidR="40315B41">
              <w:rPr>
                <w:rStyle w:val="html-italic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</w:rPr>
              <w:t xml:space="preserve"> General de Derecho </w:t>
            </w:r>
            <w:r w:rsidRPr="71B6D5CE" w:rsidR="40315B41">
              <w:rPr>
                <w:rStyle w:val="html-italic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shd w:val="clear" w:color="auto" w:fill="FFFFFF"/>
              </w:rPr>
              <w:t>Administrativo</w:t>
            </w:r>
            <w:r w:rsidRPr="71B6D5CE" w:rsidR="40315B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shd w:val="clear" w:color="auto" w:fill="FFFFFF"/>
              </w:rPr>
              <w:t> V.50, P.421192. 2019.</w:t>
            </w:r>
          </w:p>
          <w:p w:rsidRPr="00971859" w:rsidR="00427E4D" w:rsidP="71B6D5CE" w:rsidRDefault="00427E4D" w14:paraId="74CCCD05" w14:textId="0F9E5E3B">
            <w:pPr>
              <w:pStyle w:val="Corpodetexto"/>
              <w:spacing w:after="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4444" w:rsidP="00255E24" w:rsidRDefault="009E4444" w14:paraId="1C81CF28" w14:textId="77777777">
      <w:pPr>
        <w:spacing w:line="240" w:lineRule="auto"/>
      </w:pPr>
      <w:r>
        <w:separator/>
      </w:r>
    </w:p>
  </w:endnote>
  <w:endnote w:type="continuationSeparator" w:id="0">
    <w:p w:rsidR="009E4444" w:rsidP="00255E24" w:rsidRDefault="009E4444" w14:paraId="6094E8C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EC0" w:rsidRDefault="00322EC0" w14:paraId="5B0F0CA7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2E424E" w:rsidRDefault="00255E24" w14:paraId="3B00B581" w14:textId="7BA60AA9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2E424E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AC5676" w:rsidR="002E424E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EC0" w:rsidRDefault="00322EC0" w14:paraId="573FA785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4444" w:rsidP="00255E24" w:rsidRDefault="009E4444" w14:paraId="262DD1A1" w14:textId="77777777">
      <w:pPr>
        <w:spacing w:line="240" w:lineRule="auto"/>
      </w:pPr>
      <w:r>
        <w:separator/>
      </w:r>
    </w:p>
  </w:footnote>
  <w:footnote w:type="continuationSeparator" w:id="0">
    <w:p w:rsidR="009E4444" w:rsidP="00255E24" w:rsidRDefault="009E4444" w14:paraId="2D4F9CB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EC0" w:rsidRDefault="00322EC0" w14:paraId="1F98F822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322EC0" w:rsidR="00307073" w:rsidP="71B6D5CE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71B6D5CE" w:rsidR="71B6D5CE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EC0" w:rsidRDefault="00322EC0" w14:paraId="268CD05D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07016"/>
    <w:rsid w:val="00015AAF"/>
    <w:rsid w:val="0003146F"/>
    <w:rsid w:val="00033B30"/>
    <w:rsid w:val="00056EF4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E424E"/>
    <w:rsid w:val="002F11F9"/>
    <w:rsid w:val="002F1392"/>
    <w:rsid w:val="00302D20"/>
    <w:rsid w:val="00307073"/>
    <w:rsid w:val="003164B3"/>
    <w:rsid w:val="00322EC0"/>
    <w:rsid w:val="00341D44"/>
    <w:rsid w:val="00344A79"/>
    <w:rsid w:val="00350F8A"/>
    <w:rsid w:val="00381606"/>
    <w:rsid w:val="003A7A8E"/>
    <w:rsid w:val="003B42FF"/>
    <w:rsid w:val="003B62AE"/>
    <w:rsid w:val="003C1F1B"/>
    <w:rsid w:val="003C4A6A"/>
    <w:rsid w:val="003D231A"/>
    <w:rsid w:val="003E31CA"/>
    <w:rsid w:val="003E4BF2"/>
    <w:rsid w:val="004042DD"/>
    <w:rsid w:val="00417A44"/>
    <w:rsid w:val="00422B61"/>
    <w:rsid w:val="00427E4D"/>
    <w:rsid w:val="00430527"/>
    <w:rsid w:val="00431867"/>
    <w:rsid w:val="00434C9B"/>
    <w:rsid w:val="00442C0E"/>
    <w:rsid w:val="00451147"/>
    <w:rsid w:val="00467752"/>
    <w:rsid w:val="00491014"/>
    <w:rsid w:val="0049480F"/>
    <w:rsid w:val="00495FB2"/>
    <w:rsid w:val="004B21ED"/>
    <w:rsid w:val="004C0B09"/>
    <w:rsid w:val="004D1571"/>
    <w:rsid w:val="004D4FE1"/>
    <w:rsid w:val="004E5B74"/>
    <w:rsid w:val="004F2C4B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D4F62"/>
    <w:rsid w:val="006E3CAD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4D8E"/>
    <w:rsid w:val="00817348"/>
    <w:rsid w:val="00834932"/>
    <w:rsid w:val="00840930"/>
    <w:rsid w:val="008434E8"/>
    <w:rsid w:val="00867DA1"/>
    <w:rsid w:val="008E2009"/>
    <w:rsid w:val="008E48BB"/>
    <w:rsid w:val="008E68BB"/>
    <w:rsid w:val="008F3E9F"/>
    <w:rsid w:val="00910AE5"/>
    <w:rsid w:val="00911F3C"/>
    <w:rsid w:val="00940E8A"/>
    <w:rsid w:val="00950E7B"/>
    <w:rsid w:val="00953532"/>
    <w:rsid w:val="00971859"/>
    <w:rsid w:val="009B67CC"/>
    <w:rsid w:val="009C0682"/>
    <w:rsid w:val="009D0B63"/>
    <w:rsid w:val="009D30C7"/>
    <w:rsid w:val="009E4444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E5A1D"/>
    <w:rsid w:val="00BF5369"/>
    <w:rsid w:val="00C27440"/>
    <w:rsid w:val="00C308AC"/>
    <w:rsid w:val="00C31456"/>
    <w:rsid w:val="00C33844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B1E74"/>
    <w:rsid w:val="00ED2B30"/>
    <w:rsid w:val="00EE26E9"/>
    <w:rsid w:val="00F10410"/>
    <w:rsid w:val="00F26635"/>
    <w:rsid w:val="00F35E48"/>
    <w:rsid w:val="00F965FF"/>
    <w:rsid w:val="00FF62D4"/>
    <w:rsid w:val="0803D20B"/>
    <w:rsid w:val="2228D24E"/>
    <w:rsid w:val="2267C198"/>
    <w:rsid w:val="28B6F503"/>
    <w:rsid w:val="38DF2E57"/>
    <w:rsid w:val="40315B41"/>
    <w:rsid w:val="48C5711E"/>
    <w:rsid w:val="5BC9E872"/>
    <w:rsid w:val="71B6D5CE"/>
    <w:rsid w:val="72ADC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  <w:style w:type="character" w:styleId="html-italic" w:customStyle="1">
    <w:name w:val="html-italic"/>
    <w:basedOn w:val="Tipodeletrapredefinidodopargrafo"/>
    <w:rsid w:val="00EB1E74"/>
  </w:style>
  <w:style w:type="character" w:styleId="name" w:customStyle="1">
    <w:name w:val="name"/>
    <w:basedOn w:val="Tipodeletrapredefinidodopargrafo"/>
    <w:rsid w:val="00971859"/>
  </w:style>
  <w:style w:type="character" w:styleId="contribution" w:customStyle="1">
    <w:name w:val="contribution"/>
    <w:basedOn w:val="Tipodeletrapredefinidodopargrafo"/>
    <w:rsid w:val="00971859"/>
  </w:style>
  <w:style w:type="character" w:styleId="a-color-secondary" w:customStyle="1">
    <w:name w:val="a-color-secondary"/>
    <w:basedOn w:val="Tipodeletrapredefinidodopargrafo"/>
    <w:rsid w:val="0097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styles" Target="styles.xml" Id="rId2" /><Relationship Type="http://schemas.openxmlformats.org/officeDocument/2006/relationships/header" Target="header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footer" Target="footer1.xml" Id="rId14" /><Relationship Type="http://schemas.openxmlformats.org/officeDocument/2006/relationships/hyperlink" Target="https://www.emerald.com/insight/search?q=Kemi%20C.%20Yekini" TargetMode="External" Id="Rd84a4b6b8d00480f" /><Relationship Type="http://schemas.openxmlformats.org/officeDocument/2006/relationships/hyperlink" Target="https://www.emerald.com/insight/search?q=Liafisu%20Sina%20Yekini" TargetMode="External" Id="R8c4251a5717c4093" /><Relationship Type="http://schemas.openxmlformats.org/officeDocument/2006/relationships/hyperlink" Target="https://www.emerald.com/insight/search?q=Paschal%20Ohalehi" TargetMode="External" Id="R0fe54dd209ac4984" /><Relationship Type="http://schemas.openxmlformats.org/officeDocument/2006/relationships/hyperlink" Target="https://www.emerald.com/insight/publication/issn/0960-0035" TargetMode="External" Id="R123c9022f6d14be4" /><Relationship Type="http://schemas.openxmlformats.org/officeDocument/2006/relationships/hyperlink" Target="https://www.emerald.com/insight/publication/issn/1746-5680" TargetMode="External" Id="R99959231db66468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15</revision>
  <lastPrinted>2023-09-27T17:30:00.0000000Z</lastPrinted>
  <dcterms:created xsi:type="dcterms:W3CDTF">2025-04-01T21:08:00.0000000Z</dcterms:created>
  <dcterms:modified xsi:type="dcterms:W3CDTF">2025-04-01T21:09:14.1468476Z</dcterms:modified>
</coreProperties>
</file>